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022C7" w14:textId="77777777" w:rsidR="004D1149" w:rsidRPr="004D1149" w:rsidRDefault="004D1149" w:rsidP="004D1149">
      <w:bookmarkStart w:id="0" w:name="_GoBack"/>
      <w:bookmarkEnd w:id="0"/>
      <w:r>
        <w:rPr>
          <w:noProof/>
        </w:rPr>
        <w:drawing>
          <wp:inline distT="0" distB="0" distL="0" distR="0" wp14:anchorId="0F6D4F37" wp14:editId="6F849791">
            <wp:extent cx="2164080" cy="713105"/>
            <wp:effectExtent l="0" t="0" r="0" b="0"/>
            <wp:docPr id="1" name="Picture 1" descr="MNsure. Where you choose health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713105"/>
                    </a:xfrm>
                    <a:prstGeom prst="rect">
                      <a:avLst/>
                    </a:prstGeom>
                    <a:noFill/>
                  </pic:spPr>
                </pic:pic>
              </a:graphicData>
            </a:graphic>
          </wp:inline>
        </w:drawing>
      </w:r>
    </w:p>
    <w:p w14:paraId="73D00C1B" w14:textId="2ADEF989" w:rsidR="009433A4" w:rsidRDefault="00EA359E" w:rsidP="00EA359E">
      <w:pPr>
        <w:pStyle w:val="Heading1"/>
      </w:pPr>
      <w:r>
        <w:t>American Rescue Plan</w:t>
      </w:r>
    </w:p>
    <w:p w14:paraId="14B4D9D9" w14:textId="248E7A43" w:rsidR="00EA359E" w:rsidRDefault="00EA359E" w:rsidP="00EA359E">
      <w:pPr>
        <w:pStyle w:val="Subtitle"/>
      </w:pPr>
      <w:r>
        <w:t xml:space="preserve">For use during </w:t>
      </w:r>
      <w:r w:rsidR="00B77AAE">
        <w:t xml:space="preserve">COVID-19 </w:t>
      </w:r>
      <w:r>
        <w:t>Special Enrollment Period, extended to July 16, 2021, and American Rescue Plan (ARP)</w:t>
      </w:r>
    </w:p>
    <w:p w14:paraId="44048B49" w14:textId="41EAF17B" w:rsidR="00160134" w:rsidRPr="008738A5" w:rsidRDefault="008738A5" w:rsidP="00160134">
      <w:r>
        <w:t>Recent changes to the Affordable Care Act (ACA) made through the American Rescue Plan mean more Minnesotans will be able to access tax credits through MNsure and most current enrollees will receive increased tax credits</w:t>
      </w:r>
      <w:r w:rsidR="006C4B21">
        <w:t xml:space="preserve"> for 2021 and 2022</w:t>
      </w:r>
      <w:r>
        <w:t>.</w:t>
      </w:r>
      <w:r w:rsidR="00940FA0">
        <w:t xml:space="preserve"> </w:t>
      </w:r>
      <w:r w:rsidR="009C201C">
        <w:t>To</w:t>
      </w:r>
      <w:r w:rsidR="006C4B21">
        <w:t xml:space="preserve"> give </w:t>
      </w:r>
      <w:r w:rsidR="00160134">
        <w:t>Minnesotans to take advantage of these expanded financial benefits, MNsure has extended the COVID-19 Special Enrollment Period to July 16, 2021.</w:t>
      </w:r>
    </w:p>
    <w:p w14:paraId="5692B9B0" w14:textId="0AC7F658" w:rsidR="00985D35" w:rsidRDefault="00985D35" w:rsidP="00985D35">
      <w:pPr>
        <w:pStyle w:val="Heading2"/>
      </w:pPr>
      <w:r>
        <w:t>Suggested Post Copy</w:t>
      </w:r>
    </w:p>
    <w:p w14:paraId="3D4960C0" w14:textId="77777777" w:rsidR="002B0D79" w:rsidRDefault="002B0D79" w:rsidP="002B0D79">
      <w:pPr>
        <w:pStyle w:val="Heading3"/>
        <w:spacing w:before="0" w:after="0"/>
      </w:pPr>
      <w:r>
        <w:t>ARP</w:t>
      </w:r>
    </w:p>
    <w:p w14:paraId="431169DC" w14:textId="77777777" w:rsidR="002B0D79" w:rsidRDefault="002B0D79" w:rsidP="002B0D79">
      <w:r>
        <w:t xml:space="preserve">Starting this spring, Minnesotans will see increased tax credits through @MNsure. Learn more about the new benefits &amp; how to enroll: </w:t>
      </w:r>
      <w:hyperlink r:id="rId11" w:history="1">
        <w:r w:rsidRPr="003B35BB">
          <w:rPr>
            <w:rStyle w:val="Hyperlink"/>
          </w:rPr>
          <w:t>http://bit.ly/MNsureARP</w:t>
        </w:r>
      </w:hyperlink>
      <w:r>
        <w:t xml:space="preserve"> </w:t>
      </w:r>
    </w:p>
    <w:p w14:paraId="0E16FB09" w14:textId="73AA2555" w:rsidR="002B0D79" w:rsidRDefault="002B0D79" w:rsidP="002B0D79">
      <w:r>
        <w:t xml:space="preserve">Good news for Minnesotans! Thanks to recent federal changes, more Minnesotans will be able to get more financial help, available only through @MNsure. Learn more at </w:t>
      </w:r>
      <w:hyperlink r:id="rId12" w:history="1">
        <w:r w:rsidRPr="003B35BB">
          <w:rPr>
            <w:rStyle w:val="Hyperlink"/>
          </w:rPr>
          <w:t>http://bit.ly/MNsureARP</w:t>
        </w:r>
      </w:hyperlink>
    </w:p>
    <w:p w14:paraId="22A94124" w14:textId="77777777" w:rsidR="002B0D79" w:rsidRDefault="002B0D79" w:rsidP="002B0D79">
      <w:r w:rsidRPr="009C560D">
        <w:t xml:space="preserve">Think your income is too high to get help paying for insurance through </w:t>
      </w:r>
      <w:r>
        <w:t>@</w:t>
      </w:r>
      <w:r w:rsidRPr="009C560D">
        <w:t>MNsure? Th</w:t>
      </w:r>
      <w:r>
        <w:t>i</w:t>
      </w:r>
      <w:r w:rsidRPr="009C560D">
        <w:t xml:space="preserve">nk again! </w:t>
      </w:r>
      <w:r>
        <w:t>Recent changes to the ACA</w:t>
      </w:r>
      <w:r w:rsidRPr="009C560D">
        <w:t xml:space="preserve"> mean Minnesotans with higher incomes may qualify.</w:t>
      </w:r>
      <w:r>
        <w:t xml:space="preserve"> </w:t>
      </w:r>
      <w:hyperlink r:id="rId13" w:history="1">
        <w:r w:rsidRPr="003B35BB">
          <w:rPr>
            <w:rStyle w:val="Hyperlink"/>
          </w:rPr>
          <w:t>http://bit.ly/MNsureARP</w:t>
        </w:r>
      </w:hyperlink>
    </w:p>
    <w:p w14:paraId="4585E906" w14:textId="03266735" w:rsidR="002B0D79" w:rsidRDefault="002B0D79" w:rsidP="00940FA0">
      <w:r>
        <w:t xml:space="preserve">Thanks to the American Rescue Plan, many Minnesotans will now receive bigger tax credits to lower their health coverage costs, only available through @MNsure.org. More info: </w:t>
      </w:r>
      <w:hyperlink r:id="rId14" w:history="1">
        <w:r w:rsidRPr="003B35BB">
          <w:rPr>
            <w:rStyle w:val="Hyperlink"/>
          </w:rPr>
          <w:t>http://bit.ly/MNsureARP</w:t>
        </w:r>
      </w:hyperlink>
      <w:r>
        <w:t xml:space="preserve"> </w:t>
      </w:r>
    </w:p>
    <w:p w14:paraId="344243C5" w14:textId="61CB0B85" w:rsidR="004D13BB" w:rsidRDefault="004D13BB" w:rsidP="004D13BB">
      <w:pPr>
        <w:pStyle w:val="Heading3"/>
        <w:spacing w:before="0" w:after="0"/>
      </w:pPr>
      <w:r>
        <w:t>Extended Deadline</w:t>
      </w:r>
    </w:p>
    <w:p w14:paraId="6A043B7A" w14:textId="77777777" w:rsidR="004D13BB" w:rsidRDefault="004D13BB" w:rsidP="004D13BB">
      <w:pPr>
        <w:spacing w:after="0"/>
      </w:pPr>
      <w:r>
        <w:t>Thanks to changes to the ACA, more Minnesotans will be able to access more financial help through @MNsure. And to help Minnesotans take advantage of these increased benefits, MNsure has extended the COVID-19 Special Enrollment Period through July 16, 2021!</w:t>
      </w:r>
    </w:p>
    <w:p w14:paraId="4FD18680" w14:textId="13134D54" w:rsidR="004D13BB" w:rsidRDefault="004D13BB" w:rsidP="004D13BB">
      <w:pPr>
        <w:spacing w:after="0"/>
      </w:pPr>
    </w:p>
    <w:p w14:paraId="4369F468" w14:textId="77777777" w:rsidR="004D13BB" w:rsidRDefault="004D13BB" w:rsidP="004D13BB">
      <w:pPr>
        <w:spacing w:after="0"/>
      </w:pPr>
      <w:r>
        <w:t xml:space="preserve">Still need health </w:t>
      </w:r>
      <w:proofErr w:type="gramStart"/>
      <w:r>
        <w:t>coverage?</w:t>
      </w:r>
      <w:proofErr w:type="gramEnd"/>
      <w:r>
        <w:t xml:space="preserve"> @MNsure is giving you more time to take advantage of increased financial help, thanks to the federal coronavirus relief. Minnesotans can enroll through July 16! Learn more &amp; enroll at MNsure.org</w:t>
      </w:r>
    </w:p>
    <w:p w14:paraId="668A50A0" w14:textId="3C788F29" w:rsidR="004D13BB" w:rsidRDefault="004D13BB" w:rsidP="004D13BB">
      <w:pPr>
        <w:spacing w:after="0"/>
      </w:pPr>
    </w:p>
    <w:p w14:paraId="71DE955E" w14:textId="77777777" w:rsidR="004D13BB" w:rsidRDefault="004D13BB" w:rsidP="004D13BB">
      <w:pPr>
        <w:spacing w:after="0"/>
      </w:pPr>
      <w:r w:rsidRPr="008008EA">
        <w:t xml:space="preserve">If you've recently lost your coverage or didn't enroll during open enrollment this past fall, you have another chance! </w:t>
      </w:r>
      <w:r>
        <w:t>@</w:t>
      </w:r>
      <w:r w:rsidRPr="008008EA">
        <w:t xml:space="preserve">MNsure.org's special enrollment period </w:t>
      </w:r>
      <w:r>
        <w:t>has been extended to July 16</w:t>
      </w:r>
    </w:p>
    <w:p w14:paraId="7818FE3E" w14:textId="2CAA1592" w:rsidR="004D13BB" w:rsidRDefault="004D13BB" w:rsidP="004D13BB">
      <w:pPr>
        <w:spacing w:after="0"/>
      </w:pPr>
    </w:p>
    <w:p w14:paraId="07BFBD3A" w14:textId="6D3EDE5D" w:rsidR="002B0D79" w:rsidRDefault="004D13BB" w:rsidP="002B0D79">
      <w:pPr>
        <w:spacing w:after="0"/>
      </w:pPr>
      <w:r w:rsidRPr="008008EA">
        <w:lastRenderedPageBreak/>
        <w:t xml:space="preserve">If you've recently lost your coverage or didn't enroll during open enrollment this past fall, you have another chance! </w:t>
      </w:r>
      <w:r>
        <w:t>@</w:t>
      </w:r>
      <w:r w:rsidRPr="008008EA">
        <w:t xml:space="preserve">MNsure.org's special enrollment period </w:t>
      </w:r>
      <w:r>
        <w:t>has been extended to July 16</w:t>
      </w:r>
    </w:p>
    <w:p w14:paraId="618CCF8C" w14:textId="4A24E8F7" w:rsidR="00985D35" w:rsidRDefault="00985D35" w:rsidP="00985D35">
      <w:pPr>
        <w:pStyle w:val="Heading2"/>
      </w:pPr>
      <w:r>
        <w:t>Social Graphics</w:t>
      </w:r>
    </w:p>
    <w:p w14:paraId="050A395B" w14:textId="2EA15CB0" w:rsidR="002B0D79" w:rsidRPr="002B0D79" w:rsidRDefault="002B0D79" w:rsidP="002B0D79">
      <w:pPr>
        <w:rPr>
          <w:i/>
          <w:iCs/>
        </w:rPr>
      </w:pPr>
      <w:r w:rsidRPr="002B0D79">
        <w:rPr>
          <w:i/>
          <w:iCs/>
        </w:rPr>
        <w:t xml:space="preserve">We encourage you to use the graphics highlighted below </w:t>
      </w:r>
      <w:r>
        <w:rPr>
          <w:i/>
          <w:iCs/>
        </w:rPr>
        <w:t>alongside</w:t>
      </w:r>
      <w:r w:rsidRPr="002B0D79">
        <w:rPr>
          <w:i/>
          <w:iCs/>
        </w:rPr>
        <w:t xml:space="preserve"> the above copy. The high-resolution graphics are included in the attached folder.</w:t>
      </w:r>
    </w:p>
    <w:p w14:paraId="04602878" w14:textId="39487C9B" w:rsidR="002B0D79" w:rsidRDefault="002B0D79" w:rsidP="002B0D79">
      <w:pPr>
        <w:pStyle w:val="Heading3"/>
        <w:spacing w:before="0" w:after="0"/>
      </w:pPr>
      <w:r>
        <w:t>ARP</w:t>
      </w:r>
    </w:p>
    <w:p w14:paraId="462727EF" w14:textId="73727C23" w:rsidR="009C201C" w:rsidRDefault="00940FA0" w:rsidP="009C201C">
      <w:pPr>
        <w:pStyle w:val="BodyText"/>
        <w:spacing w:after="0"/>
      </w:pPr>
      <w:r>
        <w:rPr>
          <w:noProof/>
        </w:rPr>
        <w:drawing>
          <wp:inline distT="0" distB="0" distL="0" distR="0" wp14:anchorId="1FB0C81B" wp14:editId="5EB451FE">
            <wp:extent cx="2947182" cy="1475167"/>
            <wp:effectExtent l="0" t="0" r="5715" b="0"/>
            <wp:docPr id="7" name="Picture 7" descr="Outline of the state of Minnesota with a large dollar sig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utline of the state of Minnesota with a large dollar sign in the midd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1068" cy="1482117"/>
                    </a:xfrm>
                    <a:prstGeom prst="rect">
                      <a:avLst/>
                    </a:prstGeom>
                    <a:noFill/>
                    <a:ln>
                      <a:noFill/>
                    </a:ln>
                  </pic:spPr>
                </pic:pic>
              </a:graphicData>
            </a:graphic>
          </wp:inline>
        </w:drawing>
      </w:r>
      <w:r w:rsidR="009C201C">
        <w:rPr>
          <w:noProof/>
        </w:rPr>
        <w:drawing>
          <wp:inline distT="0" distB="0" distL="0" distR="0" wp14:anchorId="156A35FC" wp14:editId="26A5B015">
            <wp:extent cx="2947035" cy="1475105"/>
            <wp:effectExtent l="0" t="0" r="5715" b="0"/>
            <wp:docPr id="2" name="Picture 2" descr="Photograph of an African American woman with natural hair smiling while on her phone and computer. Text box in the bottom right says, &quot;Visit MNsure.org to learn more about increased financial 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an African American woman with natural hair smiling while on her phone and computer. Text box in the bottom right says, &quot;Visit MNsure.org to learn more about increased financial help&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7035" cy="1475105"/>
                    </a:xfrm>
                    <a:prstGeom prst="rect">
                      <a:avLst/>
                    </a:prstGeom>
                    <a:noFill/>
                    <a:ln>
                      <a:noFill/>
                    </a:ln>
                  </pic:spPr>
                </pic:pic>
              </a:graphicData>
            </a:graphic>
          </wp:inline>
        </w:drawing>
      </w:r>
      <w:r w:rsidR="009C201C">
        <w:rPr>
          <w:noProof/>
        </w:rPr>
        <w:drawing>
          <wp:inline distT="0" distB="0" distL="0" distR="0" wp14:anchorId="4613545F" wp14:editId="190116EA">
            <wp:extent cx="2947035" cy="1475392"/>
            <wp:effectExtent l="0" t="0" r="5715" b="0"/>
            <wp:docPr id="6" name="Picture 6" descr="Photograph of an Asian-American mother working on her laptop while her daughter is next to her on the couch, sitting upsid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 of an Asian-American mother working on her laptop while her daughter is next to her on the couch, sitting upside d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4896" cy="1484334"/>
                    </a:xfrm>
                    <a:prstGeom prst="rect">
                      <a:avLst/>
                    </a:prstGeom>
                    <a:noFill/>
                    <a:ln>
                      <a:noFill/>
                    </a:ln>
                  </pic:spPr>
                </pic:pic>
              </a:graphicData>
            </a:graphic>
          </wp:inline>
        </w:drawing>
      </w:r>
      <w:r>
        <w:rPr>
          <w:noProof/>
        </w:rPr>
        <w:drawing>
          <wp:inline distT="0" distB="0" distL="0" distR="0" wp14:anchorId="0A114B38" wp14:editId="547F6A9A">
            <wp:extent cx="2964752" cy="1484142"/>
            <wp:effectExtent l="0" t="0" r="7620" b="1905"/>
            <wp:docPr id="5" name="Picture 5" descr="Illustration of a piggy bank next to text that says, &quot;See how much more you can save at MNsure.o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llustration of a piggy bank next to text that says, &quot;See how much more you can save at MNsure.org&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8987" cy="1501280"/>
                    </a:xfrm>
                    <a:prstGeom prst="rect">
                      <a:avLst/>
                    </a:prstGeom>
                    <a:noFill/>
                    <a:ln>
                      <a:noFill/>
                    </a:ln>
                  </pic:spPr>
                </pic:pic>
              </a:graphicData>
            </a:graphic>
          </wp:inline>
        </w:drawing>
      </w:r>
    </w:p>
    <w:p w14:paraId="52CACC66" w14:textId="77777777" w:rsidR="009C201C" w:rsidRDefault="009C201C" w:rsidP="009C201C">
      <w:pPr>
        <w:pStyle w:val="BodyText"/>
        <w:spacing w:after="0"/>
      </w:pPr>
    </w:p>
    <w:p w14:paraId="77FD43F4" w14:textId="5C1EDF33" w:rsidR="002B0D79" w:rsidRDefault="002B0D79" w:rsidP="002B0D79">
      <w:pPr>
        <w:pStyle w:val="Heading3"/>
        <w:spacing w:before="0" w:after="0"/>
      </w:pPr>
      <w:r>
        <w:t>Extended Deadline</w:t>
      </w:r>
    </w:p>
    <w:p w14:paraId="48ED083D" w14:textId="68E2D5EC" w:rsidR="00985D35" w:rsidRDefault="009C201C" w:rsidP="00940FA0">
      <w:pPr>
        <w:spacing w:after="0"/>
      </w:pPr>
      <w:r>
        <w:rPr>
          <w:noProof/>
        </w:rPr>
        <w:drawing>
          <wp:inline distT="0" distB="0" distL="0" distR="0" wp14:anchorId="06E8AE96" wp14:editId="5450109E">
            <wp:extent cx="2964180" cy="1483675"/>
            <wp:effectExtent l="0" t="0" r="7620" b="2540"/>
            <wp:docPr id="4" name="Picture 4" descr="Aerial photograph of a winding river in rural Minnesota woods. Overlayed text reads, &quot;Deadline Extended! Minnesotans not already enrolled through MNsure can now enroll through July 1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ial photograph of a winding river in rural Minnesota woods. Overlayed text reads, &quot;Deadline Extended! Minnesotans not already enrolled through MNsure can now enroll through July 16&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3302" cy="1493246"/>
                    </a:xfrm>
                    <a:prstGeom prst="rect">
                      <a:avLst/>
                    </a:prstGeom>
                    <a:noFill/>
                    <a:ln>
                      <a:noFill/>
                    </a:ln>
                  </pic:spPr>
                </pic:pic>
              </a:graphicData>
            </a:graphic>
          </wp:inline>
        </w:drawing>
      </w:r>
      <w:r>
        <w:rPr>
          <w:noProof/>
        </w:rPr>
        <w:drawing>
          <wp:inline distT="0" distB="0" distL="0" distR="0" wp14:anchorId="25F09374" wp14:editId="19A84EC7">
            <wp:extent cx="2964180" cy="1483675"/>
            <wp:effectExtent l="0" t="0" r="7620" b="2540"/>
            <wp:docPr id="8" name="Picture 8" descr="Text: &quot;Special enrollment period deadline extended to July 16, 202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quot;Special enrollment period deadline extended to July 16, 2021&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4432" cy="1513833"/>
                    </a:xfrm>
                    <a:prstGeom prst="rect">
                      <a:avLst/>
                    </a:prstGeom>
                    <a:noFill/>
                    <a:ln>
                      <a:noFill/>
                    </a:ln>
                  </pic:spPr>
                </pic:pic>
              </a:graphicData>
            </a:graphic>
          </wp:inline>
        </w:drawing>
      </w:r>
    </w:p>
    <w:p w14:paraId="4BB4C227" w14:textId="73521785" w:rsidR="009C201C" w:rsidRPr="00985D35" w:rsidRDefault="009C201C" w:rsidP="00940FA0">
      <w:pPr>
        <w:spacing w:after="0"/>
      </w:pPr>
      <w:r>
        <w:rPr>
          <w:noProof/>
        </w:rPr>
        <w:drawing>
          <wp:inline distT="0" distB="0" distL="0" distR="0" wp14:anchorId="2BCC5F38" wp14:editId="579E2214">
            <wp:extent cx="2961249" cy="1482208"/>
            <wp:effectExtent l="0" t="0" r="0" b="3810"/>
            <wp:docPr id="9" name="Picture 9" descr="A piggy bank under a green-striped umbrella. On the other side of the umbrella handle, text says, &quot;Make sure you're cover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ggy bank under a green-striped umbrella. On the other side of the umbrella handle, text says, &quot;Make sure you're covered!&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1640" cy="1502425"/>
                    </a:xfrm>
                    <a:prstGeom prst="rect">
                      <a:avLst/>
                    </a:prstGeom>
                    <a:noFill/>
                    <a:ln>
                      <a:noFill/>
                    </a:ln>
                  </pic:spPr>
                </pic:pic>
              </a:graphicData>
            </a:graphic>
          </wp:inline>
        </w:drawing>
      </w:r>
      <w:r>
        <w:rPr>
          <w:b/>
          <w:bCs/>
          <w:noProof/>
        </w:rPr>
        <w:drawing>
          <wp:inline distT="0" distB="0" distL="0" distR="0" wp14:anchorId="16E930B4" wp14:editId="32E922C9">
            <wp:extent cx="2975317" cy="1489250"/>
            <wp:effectExtent l="0" t="0" r="0" b="0"/>
            <wp:docPr id="10" name="Picture 10" descr="Photograph of a mother helping her school-age daughter put on a face mask. Text at the bottom says: &quot;Many Minnesotans will see lower premiums thanks to the federal COVID-19 relief bill. Enroll at MNsure.org by July 1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of a mother helping her school-age daughter put on a face mask. Text at the bottom says: &quot;Many Minnesotans will see lower premiums thanks to the federal COVID-19 relief bill. Enroll at MNsure.org by July 16!&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7420" cy="1505319"/>
                    </a:xfrm>
                    <a:prstGeom prst="rect">
                      <a:avLst/>
                    </a:prstGeom>
                    <a:noFill/>
                    <a:ln>
                      <a:noFill/>
                    </a:ln>
                  </pic:spPr>
                </pic:pic>
              </a:graphicData>
            </a:graphic>
          </wp:inline>
        </w:drawing>
      </w:r>
    </w:p>
    <w:sectPr w:rsidR="009C201C" w:rsidRPr="00985D35" w:rsidSect="000D79DE">
      <w:headerReference w:type="default" r:id="rId23"/>
      <w:footerReference w:type="default" r:id="rId24"/>
      <w:pgSz w:w="12240" w:h="15840"/>
      <w:pgMar w:top="72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67923" w14:textId="77777777" w:rsidR="004F270F" w:rsidRDefault="004F270F" w:rsidP="004D1149">
      <w:pPr>
        <w:spacing w:after="0" w:line="240" w:lineRule="auto"/>
      </w:pPr>
      <w:r>
        <w:separator/>
      </w:r>
    </w:p>
  </w:endnote>
  <w:endnote w:type="continuationSeparator" w:id="0">
    <w:p w14:paraId="24824977" w14:textId="77777777" w:rsidR="004F270F" w:rsidRDefault="004F270F" w:rsidP="004D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615880"/>
      <w:docPartObj>
        <w:docPartGallery w:val="Page Numbers (Top of Page)"/>
        <w:docPartUnique/>
      </w:docPartObj>
    </w:sdtPr>
    <w:sdtEndPr/>
    <w:sdtContent>
      <w:p w14:paraId="5D6C6172" w14:textId="3D971689" w:rsidR="00033FA3" w:rsidRPr="00033FA3" w:rsidRDefault="009C201C" w:rsidP="00E95CF2">
        <w:pPr>
          <w:pStyle w:val="Footer"/>
          <w:tabs>
            <w:tab w:val="clear" w:pos="9360"/>
            <w:tab w:val="right" w:pos="9450"/>
          </w:tabs>
        </w:pPr>
        <w:r>
          <w:t>April 2021</w:t>
        </w:r>
        <w:r w:rsidR="00033FA3" w:rsidRPr="00593B93">
          <w:tab/>
          <w:t xml:space="preserve"> </w:t>
        </w:r>
        <w:r w:rsidR="001F71EA">
          <w:t xml:space="preserve">Page </w:t>
        </w:r>
        <w:r w:rsidR="001F71EA">
          <w:rPr>
            <w:b/>
          </w:rPr>
          <w:fldChar w:fldCharType="begin"/>
        </w:r>
        <w:r w:rsidR="001F71EA">
          <w:rPr>
            <w:b/>
          </w:rPr>
          <w:instrText xml:space="preserve"> PAGE  \* Arabic  \* MERGEFORMAT </w:instrText>
        </w:r>
        <w:r w:rsidR="001F71EA">
          <w:rPr>
            <w:b/>
          </w:rPr>
          <w:fldChar w:fldCharType="separate"/>
        </w:r>
        <w:r w:rsidR="00800D57">
          <w:rPr>
            <w:b/>
            <w:noProof/>
          </w:rPr>
          <w:t>2</w:t>
        </w:r>
        <w:r w:rsidR="001F71EA">
          <w:rPr>
            <w:b/>
          </w:rPr>
          <w:fldChar w:fldCharType="end"/>
        </w:r>
        <w:r w:rsidR="001F71EA">
          <w:t xml:space="preserve"> of </w:t>
        </w:r>
        <w:r w:rsidR="001F71EA">
          <w:rPr>
            <w:b/>
          </w:rPr>
          <w:fldChar w:fldCharType="begin"/>
        </w:r>
        <w:r w:rsidR="001F71EA">
          <w:rPr>
            <w:b/>
          </w:rPr>
          <w:instrText xml:space="preserve"> NUMPAGES  \* Arabic  \* MERGEFORMAT </w:instrText>
        </w:r>
        <w:r w:rsidR="001F71EA">
          <w:rPr>
            <w:b/>
          </w:rPr>
          <w:fldChar w:fldCharType="separate"/>
        </w:r>
        <w:r w:rsidR="00800D57">
          <w:rPr>
            <w:b/>
            <w:noProof/>
          </w:rPr>
          <w:t>2</w:t>
        </w:r>
        <w:r w:rsidR="001F71EA">
          <w:rPr>
            <w:b/>
          </w:rPr>
          <w:fldChar w:fldCharType="end"/>
        </w:r>
        <w:r w:rsidR="00033FA3" w:rsidRPr="00593B93">
          <w:t xml:space="preserve"> </w:t>
        </w:r>
        <w:r w:rsidR="000D79DE">
          <w:tab/>
        </w:r>
        <w:r w:rsidR="000D79DE" w:rsidRPr="000D79DE">
          <w:rPr>
            <w:noProof/>
          </w:rPr>
          <w:drawing>
            <wp:inline distT="0" distB="0" distL="0" distR="0" wp14:anchorId="5A153ADC" wp14:editId="7B7FE76E">
              <wp:extent cx="822960" cy="549352"/>
              <wp:effectExtent l="0" t="0" r="0" b="3175"/>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ure_CornerGraphics_letter_footer.gif"/>
                      <pic:cNvPicPr/>
                    </pic:nvPicPr>
                    <pic:blipFill rotWithShape="1">
                      <a:blip r:embed="rId1">
                        <a:extLst>
                          <a:ext uri="{28A0092B-C50C-407E-A947-70E740481C1C}">
                            <a14:useLocalDpi xmlns:a14="http://schemas.microsoft.com/office/drawing/2010/main" val="0"/>
                          </a:ext>
                        </a:extLst>
                      </a:blip>
                      <a:srcRect r="2922" b="10000"/>
                      <a:stretch/>
                    </pic:blipFill>
                    <pic:spPr bwMode="auto">
                      <a:xfrm>
                        <a:off x="0" y="0"/>
                        <a:ext cx="821893" cy="548640"/>
                      </a:xfrm>
                      <a:prstGeom prst="rect">
                        <a:avLst/>
                      </a:prstGeom>
                      <a:ln>
                        <a:noFill/>
                      </a:ln>
                      <a:extLst>
                        <a:ext uri="{53640926-AAD7-44D8-BBD7-CCE9431645EC}">
                          <a14:shadowObscured xmlns:a14="http://schemas.microsoft.com/office/drawing/2010/main"/>
                        </a:ext>
                      </a:extLst>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73166" w14:textId="77777777" w:rsidR="004F270F" w:rsidRDefault="004F270F" w:rsidP="004D1149">
      <w:pPr>
        <w:spacing w:after="0" w:line="240" w:lineRule="auto"/>
      </w:pPr>
      <w:r>
        <w:separator/>
      </w:r>
    </w:p>
  </w:footnote>
  <w:footnote w:type="continuationSeparator" w:id="0">
    <w:p w14:paraId="34991C34" w14:textId="77777777" w:rsidR="004F270F" w:rsidRDefault="004F270F" w:rsidP="004D1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1E966" w14:textId="7AB91EC9" w:rsidR="00E37F37" w:rsidRDefault="009C201C" w:rsidP="00E37F37">
    <w:pPr>
      <w:pStyle w:val="Header"/>
      <w:spacing w:after="480"/>
    </w:pPr>
    <w:r>
      <w:t>American Rescue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0C18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A797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8CF52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DCE3E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DCC0F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58C0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A847E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A45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625F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307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83EC5"/>
    <w:multiLevelType w:val="hybridMultilevel"/>
    <w:tmpl w:val="773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73060"/>
    <w:multiLevelType w:val="hybridMultilevel"/>
    <w:tmpl w:val="FFF0456E"/>
    <w:lvl w:ilvl="0" w:tplc="9EF6C790">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E0801E0"/>
    <w:multiLevelType w:val="hybridMultilevel"/>
    <w:tmpl w:val="2FE6E21E"/>
    <w:lvl w:ilvl="0" w:tplc="9EF6C790">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297891"/>
    <w:multiLevelType w:val="hybridMultilevel"/>
    <w:tmpl w:val="8D72C0E6"/>
    <w:lvl w:ilvl="0" w:tplc="C2885CE8">
      <w:start w:val="1"/>
      <w:numFmt w:val="bullet"/>
      <w:lvlText w:val=""/>
      <w:lvlJc w:val="left"/>
      <w:pPr>
        <w:ind w:left="360" w:hanging="360"/>
      </w:pPr>
      <w:rPr>
        <w:rFonts w:ascii="Symbol" w:hAnsi="Symbol" w:hint="default"/>
      </w:rPr>
    </w:lvl>
    <w:lvl w:ilvl="1" w:tplc="0D2CD6F6">
      <w:start w:val="1"/>
      <w:numFmt w:val="bullet"/>
      <w:lvlText w:val="o"/>
      <w:lvlJc w:val="left"/>
      <w:pPr>
        <w:ind w:left="1080" w:hanging="360"/>
      </w:pPr>
      <w:rPr>
        <w:rFonts w:ascii="Courier New" w:hAnsi="Courier New" w:cs="Courier New" w:hint="default"/>
      </w:rPr>
    </w:lvl>
    <w:lvl w:ilvl="2" w:tplc="6798CD6A">
      <w:start w:val="1"/>
      <w:numFmt w:val="bullet"/>
      <w:lvlText w:val=""/>
      <w:lvlJc w:val="left"/>
      <w:pPr>
        <w:ind w:left="1800" w:hanging="360"/>
      </w:pPr>
      <w:rPr>
        <w:rFonts w:ascii="Wingdings" w:hAnsi="Wingdings" w:hint="default"/>
      </w:rPr>
    </w:lvl>
    <w:lvl w:ilvl="3" w:tplc="B4F49354">
      <w:start w:val="1"/>
      <w:numFmt w:val="bullet"/>
      <w:lvlText w:val=""/>
      <w:lvlJc w:val="left"/>
      <w:pPr>
        <w:ind w:left="2520" w:hanging="360"/>
      </w:pPr>
      <w:rPr>
        <w:rFonts w:ascii="Symbol" w:hAnsi="Symbol" w:hint="default"/>
      </w:rPr>
    </w:lvl>
    <w:lvl w:ilvl="4" w:tplc="845E8118">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2075F4"/>
    <w:multiLevelType w:val="hybridMultilevel"/>
    <w:tmpl w:val="A100E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8CE5E96"/>
    <w:multiLevelType w:val="hybridMultilevel"/>
    <w:tmpl w:val="E0C8D5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37053D"/>
    <w:multiLevelType w:val="hybridMultilevel"/>
    <w:tmpl w:val="5204C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E1153F"/>
    <w:multiLevelType w:val="hybridMultilevel"/>
    <w:tmpl w:val="02A85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163EBB"/>
    <w:multiLevelType w:val="hybridMultilevel"/>
    <w:tmpl w:val="8AE2A95E"/>
    <w:lvl w:ilvl="0" w:tplc="69D8EB6E">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504939"/>
    <w:multiLevelType w:val="hybridMultilevel"/>
    <w:tmpl w:val="9C944B7C"/>
    <w:lvl w:ilvl="0" w:tplc="9EF6C790">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8DF7A64"/>
    <w:multiLevelType w:val="hybridMultilevel"/>
    <w:tmpl w:val="9C3AD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7169"/>
    <w:multiLevelType w:val="hybridMultilevel"/>
    <w:tmpl w:val="0400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A0173"/>
    <w:multiLevelType w:val="hybridMultilevel"/>
    <w:tmpl w:val="8938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0C06E1"/>
    <w:multiLevelType w:val="hybridMultilevel"/>
    <w:tmpl w:val="2820D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265EB2"/>
    <w:multiLevelType w:val="hybridMultilevel"/>
    <w:tmpl w:val="3BD0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09297F"/>
    <w:multiLevelType w:val="hybridMultilevel"/>
    <w:tmpl w:val="70002DCA"/>
    <w:lvl w:ilvl="0" w:tplc="9EF6C790">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1694E26"/>
    <w:multiLevelType w:val="hybridMultilevel"/>
    <w:tmpl w:val="7B828DE2"/>
    <w:lvl w:ilvl="0" w:tplc="E69A3128">
      <w:start w:val="1"/>
      <w:numFmt w:val="bullet"/>
      <w:lvlText w:val=""/>
      <w:lvlJc w:val="left"/>
      <w:pPr>
        <w:ind w:left="720" w:hanging="360"/>
      </w:pPr>
      <w:rPr>
        <w:rFonts w:ascii="Symbol" w:hAnsi="Symbol" w:hint="default"/>
      </w:rPr>
    </w:lvl>
    <w:lvl w:ilvl="1" w:tplc="03726814">
      <w:start w:val="1"/>
      <w:numFmt w:val="bullet"/>
      <w:lvlText w:val="o"/>
      <w:lvlJc w:val="left"/>
      <w:pPr>
        <w:ind w:left="1080" w:hanging="360"/>
      </w:pPr>
      <w:rPr>
        <w:rFonts w:ascii="Courier New" w:hAnsi="Courier New" w:cs="Courier New" w:hint="default"/>
      </w:rPr>
    </w:lvl>
    <w:lvl w:ilvl="2" w:tplc="23BE98EE">
      <w:start w:val="1"/>
      <w:numFmt w:val="bullet"/>
      <w:lvlText w:val=""/>
      <w:lvlJc w:val="left"/>
      <w:pPr>
        <w:ind w:left="1800" w:hanging="360"/>
      </w:pPr>
      <w:rPr>
        <w:rFonts w:ascii="Wingdings" w:hAnsi="Wingdings" w:hint="default"/>
      </w:rPr>
    </w:lvl>
    <w:lvl w:ilvl="3" w:tplc="B39ABE92">
      <w:start w:val="1"/>
      <w:numFmt w:val="bullet"/>
      <w:lvlText w:val=""/>
      <w:lvlJc w:val="left"/>
      <w:pPr>
        <w:ind w:left="2520" w:hanging="360"/>
      </w:pPr>
      <w:rPr>
        <w:rFonts w:ascii="Symbol" w:hAnsi="Symbol" w:hint="default"/>
        <w:w w:val="100"/>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7660EE"/>
    <w:multiLevelType w:val="hybridMultilevel"/>
    <w:tmpl w:val="FD369CA0"/>
    <w:lvl w:ilvl="0" w:tplc="2160CB6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start w:val="1"/>
      <w:numFmt w:val="bullet"/>
      <w:lvlText w:val=""/>
      <w:lvlJc w:val="left"/>
      <w:pPr>
        <w:ind w:left="2880" w:hanging="360"/>
      </w:pPr>
      <w:rPr>
        <w:rFonts w:ascii="Wingdings" w:hAnsi="Wingdings" w:hint="default"/>
      </w:rPr>
    </w:lvl>
    <w:lvl w:ilvl="6" w:tplc="0409000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8" w15:restartNumberingAfterBreak="0">
    <w:nsid w:val="714F3B4F"/>
    <w:multiLevelType w:val="hybridMultilevel"/>
    <w:tmpl w:val="2FF2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B70916"/>
    <w:multiLevelType w:val="hybridMultilevel"/>
    <w:tmpl w:val="8534A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32685"/>
    <w:multiLevelType w:val="hybridMultilevel"/>
    <w:tmpl w:val="F31AA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1666D5"/>
    <w:multiLevelType w:val="hybridMultilevel"/>
    <w:tmpl w:val="8BDAC88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0"/>
  </w:num>
  <w:num w:numId="3">
    <w:abstractNumId w:val="13"/>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7"/>
  </w:num>
  <w:num w:numId="16">
    <w:abstractNumId w:val="17"/>
  </w:num>
  <w:num w:numId="17">
    <w:abstractNumId w:val="31"/>
  </w:num>
  <w:num w:numId="18">
    <w:abstractNumId w:val="16"/>
  </w:num>
  <w:num w:numId="19">
    <w:abstractNumId w:val="24"/>
  </w:num>
  <w:num w:numId="20">
    <w:abstractNumId w:val="26"/>
  </w:num>
  <w:num w:numId="21">
    <w:abstractNumId w:val="22"/>
  </w:num>
  <w:num w:numId="22">
    <w:abstractNumId w:val="21"/>
  </w:num>
  <w:num w:numId="23">
    <w:abstractNumId w:val="20"/>
  </w:num>
  <w:num w:numId="24">
    <w:abstractNumId w:val="23"/>
  </w:num>
  <w:num w:numId="25">
    <w:abstractNumId w:val="28"/>
  </w:num>
  <w:num w:numId="26">
    <w:abstractNumId w:val="19"/>
  </w:num>
  <w:num w:numId="27">
    <w:abstractNumId w:val="11"/>
  </w:num>
  <w:num w:numId="28">
    <w:abstractNumId w:val="25"/>
  </w:num>
  <w:num w:numId="29">
    <w:abstractNumId w:val="18"/>
  </w:num>
  <w:num w:numId="30">
    <w:abstractNumId w:val="12"/>
  </w:num>
  <w:num w:numId="31">
    <w:abstractNumId w:val="29"/>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59E"/>
    <w:rsid w:val="00024D7C"/>
    <w:rsid w:val="000312F2"/>
    <w:rsid w:val="00033FA3"/>
    <w:rsid w:val="00046854"/>
    <w:rsid w:val="00053345"/>
    <w:rsid w:val="00067D5F"/>
    <w:rsid w:val="000A5372"/>
    <w:rsid w:val="000D1EC6"/>
    <w:rsid w:val="000D79DE"/>
    <w:rsid w:val="000E1047"/>
    <w:rsid w:val="000F285E"/>
    <w:rsid w:val="00141ED7"/>
    <w:rsid w:val="00143FF5"/>
    <w:rsid w:val="00160134"/>
    <w:rsid w:val="00171F62"/>
    <w:rsid w:val="001A6CFA"/>
    <w:rsid w:val="001D4808"/>
    <w:rsid w:val="001E092E"/>
    <w:rsid w:val="001F1087"/>
    <w:rsid w:val="001F71EA"/>
    <w:rsid w:val="00234EC7"/>
    <w:rsid w:val="00244A6D"/>
    <w:rsid w:val="00255CE3"/>
    <w:rsid w:val="0027503D"/>
    <w:rsid w:val="002A1C11"/>
    <w:rsid w:val="002B0D79"/>
    <w:rsid w:val="00303EDE"/>
    <w:rsid w:val="003369EE"/>
    <w:rsid w:val="0033786B"/>
    <w:rsid w:val="003776B6"/>
    <w:rsid w:val="003B159A"/>
    <w:rsid w:val="003C7A70"/>
    <w:rsid w:val="003F3339"/>
    <w:rsid w:val="00435D51"/>
    <w:rsid w:val="00483CCA"/>
    <w:rsid w:val="00495A82"/>
    <w:rsid w:val="004A031E"/>
    <w:rsid w:val="004D1149"/>
    <w:rsid w:val="004D13BB"/>
    <w:rsid w:val="004F270F"/>
    <w:rsid w:val="00503C92"/>
    <w:rsid w:val="00513C32"/>
    <w:rsid w:val="00535869"/>
    <w:rsid w:val="005374EF"/>
    <w:rsid w:val="00546894"/>
    <w:rsid w:val="00583E19"/>
    <w:rsid w:val="00593B93"/>
    <w:rsid w:val="005B1EF8"/>
    <w:rsid w:val="005F0040"/>
    <w:rsid w:val="0060537C"/>
    <w:rsid w:val="00607FEA"/>
    <w:rsid w:val="00625516"/>
    <w:rsid w:val="006374C2"/>
    <w:rsid w:val="006425E9"/>
    <w:rsid w:val="006630AC"/>
    <w:rsid w:val="006A32C5"/>
    <w:rsid w:val="006C4B21"/>
    <w:rsid w:val="006C794F"/>
    <w:rsid w:val="006F4659"/>
    <w:rsid w:val="00716054"/>
    <w:rsid w:val="007221A4"/>
    <w:rsid w:val="0073711C"/>
    <w:rsid w:val="0074498A"/>
    <w:rsid w:val="00746CD5"/>
    <w:rsid w:val="00767775"/>
    <w:rsid w:val="00784835"/>
    <w:rsid w:val="007B14EC"/>
    <w:rsid w:val="007B197E"/>
    <w:rsid w:val="007B67D4"/>
    <w:rsid w:val="007E0F61"/>
    <w:rsid w:val="007F3E39"/>
    <w:rsid w:val="00800D57"/>
    <w:rsid w:val="0080467E"/>
    <w:rsid w:val="008134F7"/>
    <w:rsid w:val="00831706"/>
    <w:rsid w:val="00837D72"/>
    <w:rsid w:val="00870B31"/>
    <w:rsid w:val="008738A5"/>
    <w:rsid w:val="0088016E"/>
    <w:rsid w:val="00880C58"/>
    <w:rsid w:val="008C2436"/>
    <w:rsid w:val="008D0A3D"/>
    <w:rsid w:val="008D590F"/>
    <w:rsid w:val="008D7E98"/>
    <w:rsid w:val="009075AB"/>
    <w:rsid w:val="00910D94"/>
    <w:rsid w:val="009148BD"/>
    <w:rsid w:val="00940FA0"/>
    <w:rsid w:val="009433A4"/>
    <w:rsid w:val="00955702"/>
    <w:rsid w:val="009640E9"/>
    <w:rsid w:val="0096721E"/>
    <w:rsid w:val="009739C5"/>
    <w:rsid w:val="00985D35"/>
    <w:rsid w:val="009878E8"/>
    <w:rsid w:val="009966E4"/>
    <w:rsid w:val="009B060E"/>
    <w:rsid w:val="009B0DCA"/>
    <w:rsid w:val="009C201C"/>
    <w:rsid w:val="009D45C0"/>
    <w:rsid w:val="009E5910"/>
    <w:rsid w:val="00A06F1E"/>
    <w:rsid w:val="00A14A74"/>
    <w:rsid w:val="00A16814"/>
    <w:rsid w:val="00A24C01"/>
    <w:rsid w:val="00A31FD0"/>
    <w:rsid w:val="00A6703C"/>
    <w:rsid w:val="00A83577"/>
    <w:rsid w:val="00AA02CF"/>
    <w:rsid w:val="00AB562C"/>
    <w:rsid w:val="00AD73D4"/>
    <w:rsid w:val="00B04F42"/>
    <w:rsid w:val="00B2344E"/>
    <w:rsid w:val="00B306DF"/>
    <w:rsid w:val="00B34119"/>
    <w:rsid w:val="00B4420E"/>
    <w:rsid w:val="00B77AAE"/>
    <w:rsid w:val="00B841C0"/>
    <w:rsid w:val="00BB5FA3"/>
    <w:rsid w:val="00BB6A52"/>
    <w:rsid w:val="00BC094C"/>
    <w:rsid w:val="00BC6117"/>
    <w:rsid w:val="00BD42E6"/>
    <w:rsid w:val="00C15C30"/>
    <w:rsid w:val="00C64323"/>
    <w:rsid w:val="00C7678F"/>
    <w:rsid w:val="00CE2B0B"/>
    <w:rsid w:val="00D26C82"/>
    <w:rsid w:val="00D57A4F"/>
    <w:rsid w:val="00D624E9"/>
    <w:rsid w:val="00D965F6"/>
    <w:rsid w:val="00DB61FC"/>
    <w:rsid w:val="00DB6CA5"/>
    <w:rsid w:val="00DC2EE2"/>
    <w:rsid w:val="00DC7A7C"/>
    <w:rsid w:val="00DD3B95"/>
    <w:rsid w:val="00E0184A"/>
    <w:rsid w:val="00E10B77"/>
    <w:rsid w:val="00E139C6"/>
    <w:rsid w:val="00E27CAB"/>
    <w:rsid w:val="00E321F3"/>
    <w:rsid w:val="00E37F37"/>
    <w:rsid w:val="00E46265"/>
    <w:rsid w:val="00E95CF2"/>
    <w:rsid w:val="00EA359E"/>
    <w:rsid w:val="00EC3ACF"/>
    <w:rsid w:val="00EC531C"/>
    <w:rsid w:val="00ED3642"/>
    <w:rsid w:val="00ED3E25"/>
    <w:rsid w:val="00EE3EEF"/>
    <w:rsid w:val="00EE4D7B"/>
    <w:rsid w:val="00EE52FB"/>
    <w:rsid w:val="00EF311C"/>
    <w:rsid w:val="00F154F8"/>
    <w:rsid w:val="00F35EB5"/>
    <w:rsid w:val="00F4113F"/>
    <w:rsid w:val="00F466FA"/>
    <w:rsid w:val="00FA1373"/>
    <w:rsid w:val="00FA727D"/>
    <w:rsid w:val="00FD43C4"/>
    <w:rsid w:val="00FD7388"/>
    <w:rsid w:val="00FE1BFB"/>
    <w:rsid w:val="00FF6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C9CB3"/>
  <w15:docId w15:val="{42C418DC-C458-430E-B9EE-7362EE44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uiPriority="1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lsdException w:name="List Bullet 3" w:semiHidden="1" w:uiPriority="8" w:unhideWhenUsed="1"/>
    <w:lsdException w:name="List Bullet 4" w:semiHidden="1" w:uiPriority="8" w:unhideWhenUsed="1"/>
    <w:lsdException w:name="List Bullet 5" w:semiHidden="1" w:uiPriority="13"/>
    <w:lsdException w:name="List Number 2" w:uiPriority="20"/>
    <w:lsdException w:name="List Number 3" w:uiPriority="21"/>
    <w:lsdException w:name="List Number 4" w:uiPriority="22"/>
    <w:lsdException w:name="List Number 5" w:semiHidden="1" w:uiPriority="23"/>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27" w:unhideWhenUsed="1" w:qFormat="1"/>
    <w:lsdException w:name="Body Text Indent" w:semiHidden="1" w:unhideWhenUsed="1"/>
    <w:lsdException w:name="List Continue" w:semiHidden="1" w:uiPriority="11" w:unhideWhenUsed="1" w:qFormat="1"/>
    <w:lsdException w:name="List Continue 2" w:uiPriority="14"/>
    <w:lsdException w:name="List Continue 3" w:uiPriority="14"/>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3"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10B77"/>
    <w:pPr>
      <w:spacing w:line="271" w:lineRule="auto"/>
    </w:pPr>
    <w:rPr>
      <w:color w:val="000000" w:themeColor="text1"/>
    </w:rPr>
  </w:style>
  <w:style w:type="paragraph" w:styleId="Heading1">
    <w:name w:val="heading 1"/>
    <w:basedOn w:val="Normal"/>
    <w:next w:val="Normal"/>
    <w:link w:val="Heading1Char"/>
    <w:uiPriority w:val="2"/>
    <w:qFormat/>
    <w:rsid w:val="005F0040"/>
    <w:pPr>
      <w:keepNext/>
      <w:keepLines/>
      <w:pBdr>
        <w:bottom w:val="single" w:sz="4" w:space="1" w:color="019292" w:themeColor="accent1"/>
      </w:pBdr>
      <w:spacing w:before="480" w:after="240" w:line="240" w:lineRule="auto"/>
      <w:outlineLvl w:val="0"/>
    </w:pPr>
    <w:rPr>
      <w:rFonts w:asciiTheme="majorHAnsi" w:eastAsiaTheme="majorEastAsia" w:hAnsiTheme="majorHAnsi" w:cstheme="majorBidi"/>
      <w:b/>
      <w:bCs/>
      <w:color w:val="019292" w:themeColor="accent1"/>
      <w:sz w:val="40"/>
      <w:szCs w:val="28"/>
    </w:rPr>
  </w:style>
  <w:style w:type="paragraph" w:styleId="Heading2">
    <w:name w:val="heading 2"/>
    <w:basedOn w:val="Normal"/>
    <w:next w:val="Normal"/>
    <w:link w:val="Heading2Char"/>
    <w:uiPriority w:val="3"/>
    <w:qFormat/>
    <w:rsid w:val="009148BD"/>
    <w:pPr>
      <w:keepNext/>
      <w:keepLines/>
      <w:spacing w:before="280" w:after="12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4"/>
    <w:qFormat/>
    <w:rsid w:val="00A83577"/>
    <w:pPr>
      <w:keepNext/>
      <w:keepLines/>
      <w:spacing w:before="240" w:after="120"/>
      <w:outlineLvl w:val="2"/>
    </w:pPr>
    <w:rPr>
      <w:rFonts w:asciiTheme="majorHAnsi" w:eastAsiaTheme="majorEastAsia" w:hAnsiTheme="majorHAnsi" w:cstheme="majorBidi"/>
      <w:b/>
      <w:bCs/>
      <w:sz w:val="26"/>
    </w:rPr>
  </w:style>
  <w:style w:type="paragraph" w:styleId="Heading4">
    <w:name w:val="heading 4"/>
    <w:basedOn w:val="Normal"/>
    <w:next w:val="Normal"/>
    <w:link w:val="Heading4Char"/>
    <w:uiPriority w:val="5"/>
    <w:qFormat/>
    <w:rsid w:val="00A83577"/>
    <w:pPr>
      <w:keepNext/>
      <w:keepLines/>
      <w:spacing w:before="240" w:after="12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B841C0"/>
    <w:pPr>
      <w:tabs>
        <w:tab w:val="center" w:pos="4680"/>
        <w:tab w:val="right" w:pos="9360"/>
      </w:tabs>
      <w:spacing w:after="240" w:line="240" w:lineRule="auto"/>
      <w:jc w:val="right"/>
    </w:pPr>
    <w:rPr>
      <w:color w:val="4A4A4A" w:themeColor="text2"/>
      <w:sz w:val="18"/>
    </w:rPr>
  </w:style>
  <w:style w:type="character" w:customStyle="1" w:styleId="HeaderChar">
    <w:name w:val="Header Char"/>
    <w:basedOn w:val="DefaultParagraphFont"/>
    <w:link w:val="Header"/>
    <w:uiPriority w:val="99"/>
    <w:rsid w:val="00B841C0"/>
    <w:rPr>
      <w:color w:val="4A4A4A" w:themeColor="text2"/>
      <w:sz w:val="18"/>
    </w:rPr>
  </w:style>
  <w:style w:type="paragraph" w:styleId="Footer">
    <w:name w:val="footer"/>
    <w:basedOn w:val="Normal"/>
    <w:link w:val="FooterChar"/>
    <w:uiPriority w:val="99"/>
    <w:qFormat/>
    <w:rsid w:val="000D79DE"/>
    <w:pPr>
      <w:pBdr>
        <w:top w:val="single" w:sz="4" w:space="4" w:color="4A4A4A" w:themeColor="text2"/>
      </w:pBdr>
      <w:tabs>
        <w:tab w:val="center" w:pos="4680"/>
        <w:tab w:val="right" w:pos="9360"/>
      </w:tabs>
      <w:spacing w:after="0" w:line="240" w:lineRule="auto"/>
    </w:pPr>
    <w:rPr>
      <w:color w:val="4A4A4A" w:themeColor="text2"/>
      <w:sz w:val="18"/>
      <w:szCs w:val="16"/>
    </w:rPr>
  </w:style>
  <w:style w:type="character" w:customStyle="1" w:styleId="FooterChar">
    <w:name w:val="Footer Char"/>
    <w:basedOn w:val="DefaultParagraphFont"/>
    <w:link w:val="Footer"/>
    <w:uiPriority w:val="99"/>
    <w:rsid w:val="00593B93"/>
    <w:rPr>
      <w:color w:val="4A4A4A" w:themeColor="text2"/>
      <w:sz w:val="18"/>
      <w:szCs w:val="16"/>
    </w:rPr>
  </w:style>
  <w:style w:type="character" w:customStyle="1" w:styleId="Heading1Char">
    <w:name w:val="Heading 1 Char"/>
    <w:basedOn w:val="DefaultParagraphFont"/>
    <w:link w:val="Heading1"/>
    <w:uiPriority w:val="2"/>
    <w:rsid w:val="001F1087"/>
    <w:rPr>
      <w:rFonts w:asciiTheme="majorHAnsi" w:eastAsiaTheme="majorEastAsia" w:hAnsiTheme="majorHAnsi" w:cstheme="majorBidi"/>
      <w:b/>
      <w:bCs/>
      <w:color w:val="019292" w:themeColor="accent1"/>
      <w:sz w:val="40"/>
      <w:szCs w:val="28"/>
    </w:rPr>
  </w:style>
  <w:style w:type="paragraph" w:styleId="Subtitle">
    <w:name w:val="Subtitle"/>
    <w:basedOn w:val="Normal"/>
    <w:next w:val="Normal"/>
    <w:link w:val="SubtitleChar"/>
    <w:uiPriority w:val="2"/>
    <w:qFormat/>
    <w:rsid w:val="004D1149"/>
    <w:pPr>
      <w:numPr>
        <w:ilvl w:val="1"/>
      </w:numPr>
    </w:pPr>
    <w:rPr>
      <w:rFonts w:asciiTheme="majorHAnsi" w:eastAsiaTheme="majorEastAsia" w:hAnsiTheme="majorHAnsi" w:cstheme="majorBidi"/>
      <w:i/>
      <w:iCs/>
      <w:color w:val="4A4A4A" w:themeColor="text2"/>
      <w:spacing w:val="15"/>
      <w:sz w:val="24"/>
      <w:szCs w:val="24"/>
    </w:rPr>
  </w:style>
  <w:style w:type="character" w:customStyle="1" w:styleId="SubtitleChar">
    <w:name w:val="Subtitle Char"/>
    <w:basedOn w:val="DefaultParagraphFont"/>
    <w:link w:val="Subtitle"/>
    <w:uiPriority w:val="2"/>
    <w:rsid w:val="001F1087"/>
    <w:rPr>
      <w:rFonts w:asciiTheme="majorHAnsi" w:eastAsiaTheme="majorEastAsia" w:hAnsiTheme="majorHAnsi" w:cstheme="majorBidi"/>
      <w:i/>
      <w:iCs/>
      <w:color w:val="4A4A4A" w:themeColor="text2"/>
      <w:spacing w:val="15"/>
      <w:sz w:val="24"/>
      <w:szCs w:val="24"/>
    </w:rPr>
  </w:style>
  <w:style w:type="paragraph" w:styleId="BalloonText">
    <w:name w:val="Balloon Text"/>
    <w:basedOn w:val="Normal"/>
    <w:link w:val="BalloonTextChar"/>
    <w:uiPriority w:val="99"/>
    <w:semiHidden/>
    <w:unhideWhenUsed/>
    <w:rsid w:val="004D1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149"/>
    <w:rPr>
      <w:rFonts w:ascii="Tahoma" w:hAnsi="Tahoma" w:cs="Tahoma"/>
      <w:sz w:val="16"/>
      <w:szCs w:val="16"/>
    </w:rPr>
  </w:style>
  <w:style w:type="paragraph" w:styleId="ListParagraph">
    <w:name w:val="List Paragraph"/>
    <w:basedOn w:val="Normal"/>
    <w:uiPriority w:val="8"/>
    <w:qFormat/>
    <w:rsid w:val="00C15C30"/>
    <w:pPr>
      <w:numPr>
        <w:numId w:val="29"/>
      </w:numPr>
      <w:spacing w:after="120"/>
    </w:pPr>
  </w:style>
  <w:style w:type="character" w:customStyle="1" w:styleId="Heading2Char">
    <w:name w:val="Heading 2 Char"/>
    <w:basedOn w:val="DefaultParagraphFont"/>
    <w:link w:val="Heading2"/>
    <w:uiPriority w:val="3"/>
    <w:rsid w:val="009148BD"/>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4"/>
    <w:rsid w:val="00171F62"/>
    <w:rPr>
      <w:rFonts w:asciiTheme="majorHAnsi" w:eastAsiaTheme="majorEastAsia" w:hAnsiTheme="majorHAnsi" w:cstheme="majorBidi"/>
      <w:b/>
      <w:bCs/>
      <w:color w:val="000000" w:themeColor="text1"/>
      <w:sz w:val="26"/>
    </w:rPr>
  </w:style>
  <w:style w:type="character" w:customStyle="1" w:styleId="Heading4Char">
    <w:name w:val="Heading 4 Char"/>
    <w:basedOn w:val="DefaultParagraphFont"/>
    <w:link w:val="Heading4"/>
    <w:uiPriority w:val="5"/>
    <w:rsid w:val="00171F62"/>
    <w:rPr>
      <w:rFonts w:asciiTheme="majorHAnsi" w:eastAsiaTheme="majorEastAsia" w:hAnsiTheme="majorHAnsi" w:cstheme="majorBidi"/>
      <w:b/>
      <w:bCs/>
      <w:i/>
      <w:iCs/>
      <w:color w:val="000000" w:themeColor="text1"/>
    </w:rPr>
  </w:style>
  <w:style w:type="paragraph" w:styleId="Quote">
    <w:name w:val="Quote"/>
    <w:basedOn w:val="Normal"/>
    <w:next w:val="Normal"/>
    <w:link w:val="QuoteChar"/>
    <w:uiPriority w:val="29"/>
    <w:rsid w:val="003369EE"/>
    <w:pPr>
      <w:ind w:left="360"/>
    </w:pPr>
    <w:rPr>
      <w:i/>
      <w:iCs/>
    </w:rPr>
  </w:style>
  <w:style w:type="character" w:customStyle="1" w:styleId="QuoteChar">
    <w:name w:val="Quote Char"/>
    <w:basedOn w:val="DefaultParagraphFont"/>
    <w:link w:val="Quote"/>
    <w:uiPriority w:val="29"/>
    <w:rsid w:val="003369EE"/>
    <w:rPr>
      <w:i/>
      <w:iCs/>
      <w:color w:val="000000" w:themeColor="text1"/>
    </w:rPr>
  </w:style>
  <w:style w:type="paragraph" w:customStyle="1" w:styleId="Tablecell">
    <w:name w:val="Table cell"/>
    <w:basedOn w:val="Normal"/>
    <w:uiPriority w:val="15"/>
    <w:qFormat/>
    <w:rsid w:val="00716054"/>
    <w:pPr>
      <w:spacing w:before="60" w:after="0"/>
    </w:pPr>
    <w:rPr>
      <w:rFonts w:eastAsiaTheme="minorHAnsi" w:cs="Arial"/>
      <w:sz w:val="20"/>
      <w:szCs w:val="20"/>
    </w:rPr>
  </w:style>
  <w:style w:type="paragraph" w:customStyle="1" w:styleId="Tableheading-lightbg">
    <w:name w:val="Table heading - light bg"/>
    <w:basedOn w:val="Normal"/>
    <w:uiPriority w:val="14"/>
    <w:qFormat/>
    <w:rsid w:val="00D57A4F"/>
    <w:pPr>
      <w:spacing w:after="60" w:line="240" w:lineRule="auto"/>
    </w:pPr>
    <w:rPr>
      <w:rFonts w:eastAsiaTheme="minorHAnsi" w:cs="Arial"/>
      <w:spacing w:val="5"/>
      <w:szCs w:val="20"/>
    </w:rPr>
  </w:style>
  <w:style w:type="paragraph" w:customStyle="1" w:styleId="bodytextnormal">
    <w:name w:val="body text normal"/>
    <w:basedOn w:val="Normal"/>
    <w:uiPriority w:val="27"/>
    <w:semiHidden/>
    <w:rsid w:val="00716054"/>
    <w:pPr>
      <w:spacing w:before="120" w:after="240"/>
    </w:pPr>
    <w:rPr>
      <w:rFonts w:eastAsiaTheme="minorHAnsi" w:cs="Arial"/>
      <w:szCs w:val="20"/>
    </w:rPr>
  </w:style>
  <w:style w:type="paragraph" w:customStyle="1" w:styleId="Tableheading-darkbg">
    <w:name w:val="Table heading - dark bg"/>
    <w:basedOn w:val="Normal"/>
    <w:uiPriority w:val="14"/>
    <w:qFormat/>
    <w:rsid w:val="00A31FD0"/>
    <w:pPr>
      <w:spacing w:after="60" w:line="240" w:lineRule="auto"/>
    </w:pPr>
    <w:rPr>
      <w:rFonts w:eastAsiaTheme="minorHAnsi" w:cs="Arial"/>
      <w:color w:val="FFFFFF" w:themeColor="background1"/>
      <w:spacing w:val="5"/>
      <w:szCs w:val="20"/>
    </w:rPr>
  </w:style>
  <w:style w:type="table" w:customStyle="1" w:styleId="Table-MNsureBasicTable">
    <w:name w:val="Table - MNsure Basic Table"/>
    <w:basedOn w:val="TableNormal"/>
    <w:uiPriority w:val="99"/>
    <w:rsid w:val="00435D51"/>
    <w:pPr>
      <w:spacing w:before="60" w:after="0"/>
    </w:pPr>
    <w:rPr>
      <w:rFonts w:eastAsiaTheme="minorHAnsi" w:cs="Arial"/>
      <w:sz w:val="20"/>
      <w:szCs w:val="20"/>
    </w:rPr>
    <w:tblPr>
      <w:tblStyleRowBandSize w:val="1"/>
      <w:tblStyleColBandSize w:val="1"/>
      <w:tblInd w:w="2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29" w:type="dxa"/>
        <w:right w:w="115" w:type="dxa"/>
      </w:tblCellMar>
    </w:tblPr>
    <w:tcPr>
      <w:shd w:val="clear" w:color="auto" w:fill="FFFFFF" w:themeFill="background1"/>
      <w:vAlign w:val="bottom"/>
    </w:tcPr>
    <w:tblStylePr w:type="firstRow">
      <w:pPr>
        <w:wordWrap/>
        <w:spacing w:beforeLines="0" w:before="0" w:beforeAutospacing="0" w:afterLines="0" w:after="60" w:afterAutospacing="0" w:line="240" w:lineRule="auto"/>
        <w:contextualSpacing w:val="0"/>
        <w:jc w:val="left"/>
      </w:pPr>
      <w:rPr>
        <w:rFonts w:asciiTheme="minorHAnsi" w:hAnsiTheme="minorHAnsi"/>
        <w:b/>
        <w:bCs/>
        <w:color w:val="FFFFFF" w:themeColor="background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one" w:sz="0" w:space="0" w:color="auto"/>
          <w:tr2bl w:val="none" w:sz="0" w:space="0" w:color="auto"/>
        </w:tcBorders>
        <w:shd w:val="clear" w:color="auto" w:fill="4A4A4A" w:themeFill="text2"/>
      </w:tcPr>
    </w:tblStylePr>
    <w:tblStylePr w:type="lastRow">
      <w:pPr>
        <w:spacing w:before="0" w:after="0" w:line="240" w:lineRule="auto"/>
      </w:pPr>
      <w:rPr>
        <w:rFonts w:asciiTheme="minorHAnsi" w:hAnsiTheme="minorHAnsi"/>
        <w:b w:val="0"/>
        <w:bCs/>
        <w:color w:val="auto"/>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one" w:sz="0" w:space="0" w:color="auto"/>
          <w:tr2bl w:val="none" w:sz="0" w:space="0" w:color="auto"/>
        </w:tcBorders>
        <w:shd w:val="clear" w:color="auto" w:fill="auto"/>
      </w:tcPr>
    </w:tblStylePr>
    <w:tblStylePr w:type="firstCol">
      <w:rPr>
        <w:rFonts w:asciiTheme="minorHAnsi" w:hAnsiTheme="minorHAnsi"/>
        <w:b w:val="0"/>
        <w:bCs/>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one" w:sz="0" w:space="0" w:color="auto"/>
          <w:tr2bl w:val="none" w:sz="0" w:space="0" w:color="auto"/>
        </w:tcBorders>
        <w:shd w:val="clear" w:color="auto" w:fill="auto"/>
      </w:tcPr>
    </w:tblStylePr>
    <w:tblStylePr w:type="lastCol">
      <w:rPr>
        <w:rFonts w:asciiTheme="minorHAnsi" w:hAnsiTheme="minorHAnsi"/>
        <w:b w:val="0"/>
        <w:bCs/>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one" w:sz="0" w:space="0" w:color="auto"/>
          <w:tr2bl w:val="none" w:sz="0" w:space="0" w:color="auto"/>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pPr>
        <w:wordWrap/>
        <w:spacing w:beforeLines="0" w:before="0" w:beforeAutospacing="0" w:afterLines="0" w:after="0" w:afterAutospacing="0"/>
        <w:contextualSpacing w:val="0"/>
      </w:pPr>
      <w:rPr>
        <w:rFonts w:asciiTheme="minorHAnsi" w:hAnsiTheme="minorHAnsi"/>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Horz">
      <w:pPr>
        <w:wordWrap/>
        <w:spacing w:beforeLines="0" w:before="0" w:beforeAutospacing="0" w:afterLines="0" w:after="0" w:afterAutospacing="0"/>
        <w:contextualSpacing/>
      </w:pPr>
      <w:rPr>
        <w:rFonts w:asciiTheme="minorHAnsi" w:hAnsiTheme="minorHAnsi"/>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neCell">
      <w:rPr>
        <w:rFonts w:asciiTheme="minorHAnsi" w:hAnsiTheme="minorHAnsi"/>
        <w:b/>
        <w:bCs/>
        <w:sz w:val="20"/>
      </w:rPr>
      <w:tblPr/>
      <w:tcPr>
        <w:tcBorders>
          <w:left w:val="none" w:sz="0" w:space="0" w:color="auto"/>
          <w:tl2br w:val="none" w:sz="0" w:space="0" w:color="auto"/>
          <w:tr2bl w:val="none" w:sz="0" w:space="0" w:color="auto"/>
        </w:tcBorders>
      </w:tcPr>
    </w:tblStylePr>
    <w:tblStylePr w:type="nwCell">
      <w:rPr>
        <w:rFonts w:asciiTheme="minorHAnsi" w:hAnsiTheme="minorHAnsi"/>
        <w:sz w:val="20"/>
      </w:rPr>
    </w:tblStylePr>
    <w:tblStylePr w:type="seCell">
      <w:rPr>
        <w:rFonts w:asciiTheme="minorHAnsi" w:hAnsiTheme="minorHAnsi"/>
        <w:sz w:val="20"/>
      </w:rPr>
    </w:tblStylePr>
    <w:tblStylePr w:type="swCell">
      <w:rPr>
        <w:rFonts w:asciiTheme="minorHAnsi" w:hAnsiTheme="minorHAnsi"/>
        <w:b w:val="0"/>
        <w:bCs/>
        <w:i w:val="0"/>
        <w:sz w:val="20"/>
      </w:rPr>
      <w:tblPr/>
      <w:tcPr>
        <w:tcBorders>
          <w:top w:val="none" w:sz="0" w:space="0" w:color="auto"/>
          <w:tl2br w:val="none" w:sz="0" w:space="0" w:color="auto"/>
          <w:tr2bl w:val="none" w:sz="0" w:space="0" w:color="auto"/>
        </w:tcBorders>
      </w:tcPr>
    </w:tblStylePr>
  </w:style>
  <w:style w:type="table" w:styleId="TableSimple2">
    <w:name w:val="Table Simple 2"/>
    <w:basedOn w:val="TableNormal"/>
    <w:uiPriority w:val="99"/>
    <w:semiHidden/>
    <w:unhideWhenUsed/>
    <w:rsid w:val="00716054"/>
    <w:pPr>
      <w:spacing w:line="271"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Strong">
    <w:name w:val="Strong"/>
    <w:basedOn w:val="DefaultParagraphFont"/>
    <w:uiPriority w:val="1"/>
    <w:qFormat/>
    <w:rsid w:val="00503C92"/>
    <w:rPr>
      <w:b/>
      <w:bCs/>
    </w:rPr>
  </w:style>
  <w:style w:type="table" w:styleId="TableGrid">
    <w:name w:val="Table Grid"/>
    <w:basedOn w:val="TableNormal"/>
    <w:uiPriority w:val="59"/>
    <w:rsid w:val="00A31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7678F"/>
    <w:rPr>
      <w:color w:val="0000EE"/>
      <w:u w:val="single"/>
    </w:rPr>
  </w:style>
  <w:style w:type="paragraph" w:styleId="ListContinue">
    <w:name w:val="List Continue"/>
    <w:basedOn w:val="Normal"/>
    <w:uiPriority w:val="14"/>
    <w:qFormat/>
    <w:rsid w:val="0060537C"/>
    <w:pPr>
      <w:spacing w:after="120"/>
      <w:ind w:left="360"/>
    </w:pPr>
    <w:rPr>
      <w:iCs/>
      <w:szCs w:val="20"/>
    </w:rPr>
  </w:style>
  <w:style w:type="paragraph" w:styleId="BodyText">
    <w:name w:val="Body Text"/>
    <w:basedOn w:val="Normal"/>
    <w:link w:val="BodyTextChar"/>
    <w:qFormat/>
    <w:rsid w:val="00053345"/>
  </w:style>
  <w:style w:type="character" w:customStyle="1" w:styleId="BodyTextChar">
    <w:name w:val="Body Text Char"/>
    <w:basedOn w:val="DefaultParagraphFont"/>
    <w:link w:val="BodyText"/>
    <w:rsid w:val="001F1087"/>
    <w:rPr>
      <w:color w:val="000000" w:themeColor="text1"/>
    </w:rPr>
  </w:style>
  <w:style w:type="paragraph" w:styleId="NoSpacing">
    <w:name w:val="No Spacing"/>
    <w:uiPriority w:val="1"/>
    <w:qFormat/>
    <w:rsid w:val="00171F62"/>
    <w:pPr>
      <w:spacing w:after="0" w:line="240" w:lineRule="auto"/>
    </w:pPr>
    <w:rPr>
      <w:color w:val="000000" w:themeColor="text1"/>
    </w:rPr>
  </w:style>
  <w:style w:type="paragraph" w:styleId="ListContinue2">
    <w:name w:val="List Continue 2"/>
    <w:basedOn w:val="Normal"/>
    <w:uiPriority w:val="14"/>
    <w:rsid w:val="00E27CAB"/>
    <w:pPr>
      <w:spacing w:after="120"/>
      <w:ind w:left="1080"/>
      <w:contextualSpacing/>
    </w:pPr>
  </w:style>
  <w:style w:type="paragraph" w:styleId="ListContinue3">
    <w:name w:val="List Continue 3"/>
    <w:basedOn w:val="Normal"/>
    <w:uiPriority w:val="14"/>
    <w:rsid w:val="00E27CAB"/>
    <w:pPr>
      <w:spacing w:after="120"/>
      <w:ind w:left="1800"/>
      <w:contextualSpacing/>
    </w:pPr>
  </w:style>
  <w:style w:type="paragraph" w:styleId="ListContinue4">
    <w:name w:val="List Continue 4"/>
    <w:basedOn w:val="Normal"/>
    <w:uiPriority w:val="14"/>
    <w:semiHidden/>
    <w:rsid w:val="00E27CAB"/>
    <w:pPr>
      <w:spacing w:after="120"/>
      <w:ind w:left="2520"/>
      <w:contextualSpacing/>
    </w:pPr>
  </w:style>
  <w:style w:type="paragraph" w:styleId="ListContinue5">
    <w:name w:val="List Continue 5"/>
    <w:basedOn w:val="Normal"/>
    <w:uiPriority w:val="14"/>
    <w:semiHidden/>
    <w:rsid w:val="00E27CAB"/>
    <w:pPr>
      <w:spacing w:after="120"/>
      <w:ind w:left="3240"/>
      <w:contextualSpacing/>
    </w:pPr>
  </w:style>
  <w:style w:type="paragraph" w:styleId="ListNumber">
    <w:name w:val="List Number"/>
    <w:basedOn w:val="Normal"/>
    <w:uiPriority w:val="19"/>
    <w:rsid w:val="00C15C30"/>
    <w:pPr>
      <w:numPr>
        <w:numId w:val="10"/>
      </w:numPr>
      <w:ind w:left="720"/>
      <w:contextualSpacing/>
    </w:pPr>
  </w:style>
  <w:style w:type="paragraph" w:styleId="ListNumber2">
    <w:name w:val="List Number 2"/>
    <w:basedOn w:val="Normal"/>
    <w:uiPriority w:val="20"/>
    <w:semiHidden/>
    <w:rsid w:val="00C15C30"/>
    <w:pPr>
      <w:numPr>
        <w:numId w:val="11"/>
      </w:numPr>
      <w:ind w:left="1440"/>
      <w:contextualSpacing/>
    </w:pPr>
  </w:style>
  <w:style w:type="paragraph" w:styleId="ListNumber3">
    <w:name w:val="List Number 3"/>
    <w:basedOn w:val="Normal"/>
    <w:uiPriority w:val="21"/>
    <w:semiHidden/>
    <w:rsid w:val="00880C58"/>
    <w:pPr>
      <w:numPr>
        <w:numId w:val="12"/>
      </w:numPr>
      <w:contextualSpacing/>
    </w:pPr>
  </w:style>
  <w:style w:type="paragraph" w:styleId="ListNumber4">
    <w:name w:val="List Number 4"/>
    <w:basedOn w:val="Normal"/>
    <w:uiPriority w:val="22"/>
    <w:semiHidden/>
    <w:rsid w:val="00880C58"/>
    <w:pPr>
      <w:numPr>
        <w:numId w:val="13"/>
      </w:numPr>
      <w:contextualSpacing/>
    </w:pPr>
  </w:style>
  <w:style w:type="table" w:styleId="LightShading">
    <w:name w:val="Light Shading"/>
    <w:basedOn w:val="TableNormal"/>
    <w:uiPriority w:val="60"/>
    <w:rsid w:val="00FA72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9672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96721E"/>
    <w:pPr>
      <w:spacing w:after="0" w:line="240" w:lineRule="auto"/>
    </w:pPr>
    <w:tblPr>
      <w:tblStyleRowBandSize w:val="1"/>
      <w:tblStyleColBandSize w:val="1"/>
      <w:tblBorders>
        <w:top w:val="single" w:sz="8" w:space="0" w:color="4A4A4A" w:themeColor="accent2"/>
        <w:left w:val="single" w:sz="8" w:space="0" w:color="4A4A4A" w:themeColor="accent2"/>
        <w:bottom w:val="single" w:sz="8" w:space="0" w:color="4A4A4A" w:themeColor="accent2"/>
        <w:right w:val="single" w:sz="8" w:space="0" w:color="4A4A4A" w:themeColor="accent2"/>
      </w:tblBorders>
    </w:tblPr>
    <w:tblStylePr w:type="firstRow">
      <w:pPr>
        <w:spacing w:before="0" w:after="0" w:line="240" w:lineRule="auto"/>
      </w:pPr>
      <w:rPr>
        <w:b/>
        <w:bCs/>
        <w:color w:val="FFFFFF" w:themeColor="background1"/>
      </w:rPr>
      <w:tblPr/>
      <w:tcPr>
        <w:shd w:val="clear" w:color="auto" w:fill="4A4A4A" w:themeFill="accent2"/>
      </w:tcPr>
    </w:tblStylePr>
    <w:tblStylePr w:type="lastRow">
      <w:pPr>
        <w:spacing w:before="0" w:after="0" w:line="240" w:lineRule="auto"/>
      </w:pPr>
      <w:rPr>
        <w:b/>
        <w:bCs/>
      </w:rPr>
      <w:tblPr/>
      <w:tcPr>
        <w:tcBorders>
          <w:top w:val="double" w:sz="6" w:space="0" w:color="4A4A4A" w:themeColor="accent2"/>
          <w:left w:val="single" w:sz="8" w:space="0" w:color="4A4A4A" w:themeColor="accent2"/>
          <w:bottom w:val="single" w:sz="8" w:space="0" w:color="4A4A4A" w:themeColor="accent2"/>
          <w:right w:val="single" w:sz="8" w:space="0" w:color="4A4A4A" w:themeColor="accent2"/>
        </w:tcBorders>
      </w:tcPr>
    </w:tblStylePr>
    <w:tblStylePr w:type="firstCol">
      <w:rPr>
        <w:b/>
        <w:bCs/>
      </w:rPr>
    </w:tblStylePr>
    <w:tblStylePr w:type="lastCol">
      <w:rPr>
        <w:b/>
        <w:bCs/>
      </w:rPr>
    </w:tblStylePr>
    <w:tblStylePr w:type="band1Vert">
      <w:tblPr/>
      <w:tcPr>
        <w:tcBorders>
          <w:top w:val="single" w:sz="8" w:space="0" w:color="4A4A4A" w:themeColor="accent2"/>
          <w:left w:val="single" w:sz="8" w:space="0" w:color="4A4A4A" w:themeColor="accent2"/>
          <w:bottom w:val="single" w:sz="8" w:space="0" w:color="4A4A4A" w:themeColor="accent2"/>
          <w:right w:val="single" w:sz="8" w:space="0" w:color="4A4A4A" w:themeColor="accent2"/>
        </w:tcBorders>
      </w:tcPr>
    </w:tblStylePr>
    <w:tblStylePr w:type="band1Horz">
      <w:tblPr/>
      <w:tcPr>
        <w:tcBorders>
          <w:top w:val="single" w:sz="8" w:space="0" w:color="4A4A4A" w:themeColor="accent2"/>
          <w:left w:val="single" w:sz="8" w:space="0" w:color="4A4A4A" w:themeColor="accent2"/>
          <w:bottom w:val="single" w:sz="8" w:space="0" w:color="4A4A4A" w:themeColor="accent2"/>
          <w:right w:val="single" w:sz="8" w:space="0" w:color="4A4A4A" w:themeColor="accent2"/>
        </w:tcBorders>
      </w:tcPr>
    </w:tblStylePr>
  </w:style>
  <w:style w:type="table" w:styleId="LightList-Accent3">
    <w:name w:val="Light List Accent 3"/>
    <w:basedOn w:val="TableNormal"/>
    <w:uiPriority w:val="61"/>
    <w:rsid w:val="0096721E"/>
    <w:pPr>
      <w:spacing w:after="0" w:line="240" w:lineRule="auto"/>
    </w:pPr>
    <w:tblPr>
      <w:tblStyleRowBandSize w:val="1"/>
      <w:tblStyleColBandSize w:val="1"/>
      <w:tblBorders>
        <w:top w:val="single" w:sz="8" w:space="0" w:color="0A876B" w:themeColor="accent3"/>
        <w:left w:val="single" w:sz="8" w:space="0" w:color="0A876B" w:themeColor="accent3"/>
        <w:bottom w:val="single" w:sz="8" w:space="0" w:color="0A876B" w:themeColor="accent3"/>
        <w:right w:val="single" w:sz="8" w:space="0" w:color="0A876B" w:themeColor="accent3"/>
      </w:tblBorders>
    </w:tblPr>
    <w:tblStylePr w:type="firstRow">
      <w:pPr>
        <w:spacing w:before="0" w:after="0" w:line="240" w:lineRule="auto"/>
      </w:pPr>
      <w:rPr>
        <w:b/>
        <w:bCs/>
        <w:color w:val="FFFFFF" w:themeColor="background1"/>
      </w:rPr>
      <w:tblPr/>
      <w:tcPr>
        <w:shd w:val="clear" w:color="auto" w:fill="0A876B" w:themeFill="accent3"/>
      </w:tcPr>
    </w:tblStylePr>
    <w:tblStylePr w:type="lastRow">
      <w:pPr>
        <w:spacing w:before="0" w:after="0" w:line="240" w:lineRule="auto"/>
      </w:pPr>
      <w:rPr>
        <w:b/>
        <w:bCs/>
      </w:rPr>
      <w:tblPr/>
      <w:tcPr>
        <w:tcBorders>
          <w:top w:val="double" w:sz="6" w:space="0" w:color="0A876B" w:themeColor="accent3"/>
          <w:left w:val="single" w:sz="8" w:space="0" w:color="0A876B" w:themeColor="accent3"/>
          <w:bottom w:val="single" w:sz="8" w:space="0" w:color="0A876B" w:themeColor="accent3"/>
          <w:right w:val="single" w:sz="8" w:space="0" w:color="0A876B" w:themeColor="accent3"/>
        </w:tcBorders>
      </w:tcPr>
    </w:tblStylePr>
    <w:tblStylePr w:type="firstCol">
      <w:rPr>
        <w:b/>
        <w:bCs/>
      </w:rPr>
    </w:tblStylePr>
    <w:tblStylePr w:type="lastCol">
      <w:rPr>
        <w:b/>
        <w:bCs/>
      </w:rPr>
    </w:tblStylePr>
    <w:tblStylePr w:type="band1Vert">
      <w:tblPr/>
      <w:tcPr>
        <w:tcBorders>
          <w:top w:val="single" w:sz="8" w:space="0" w:color="0A876B" w:themeColor="accent3"/>
          <w:left w:val="single" w:sz="8" w:space="0" w:color="0A876B" w:themeColor="accent3"/>
          <w:bottom w:val="single" w:sz="8" w:space="0" w:color="0A876B" w:themeColor="accent3"/>
          <w:right w:val="single" w:sz="8" w:space="0" w:color="0A876B" w:themeColor="accent3"/>
        </w:tcBorders>
      </w:tcPr>
    </w:tblStylePr>
    <w:tblStylePr w:type="band1Horz">
      <w:tblPr/>
      <w:tcPr>
        <w:tcBorders>
          <w:top w:val="single" w:sz="8" w:space="0" w:color="0A876B" w:themeColor="accent3"/>
          <w:left w:val="single" w:sz="8" w:space="0" w:color="0A876B" w:themeColor="accent3"/>
          <w:bottom w:val="single" w:sz="8" w:space="0" w:color="0A876B" w:themeColor="accent3"/>
          <w:right w:val="single" w:sz="8" w:space="0" w:color="0A876B" w:themeColor="accent3"/>
        </w:tcBorders>
      </w:tcPr>
    </w:tblStylePr>
  </w:style>
  <w:style w:type="paragraph" w:customStyle="1" w:styleId="Instructions">
    <w:name w:val="Instructions"/>
    <w:basedOn w:val="Normal"/>
    <w:uiPriority w:val="27"/>
    <w:rsid w:val="00535869"/>
    <w:rPr>
      <w:i/>
      <w:color w:val="3B3B3B" w:themeColor="background2" w:themeShade="40"/>
      <w:sz w:val="20"/>
      <w:szCs w:val="20"/>
    </w:rPr>
  </w:style>
  <w:style w:type="character" w:styleId="UnresolvedMention">
    <w:name w:val="Unresolved Mention"/>
    <w:basedOn w:val="DefaultParagraphFont"/>
    <w:uiPriority w:val="99"/>
    <w:semiHidden/>
    <w:unhideWhenUsed/>
    <w:rsid w:val="006F4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t.ly/MNsureARP"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bit.ly/MNsureARP"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it.ly/MNsureARP"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MNsureARP" TargetMode="Externa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WMJG01\Documents\MNsure%20Document%20Template.dotx" TargetMode="External"/></Relationships>
</file>

<file path=word/theme/theme1.xml><?xml version="1.0" encoding="utf-8"?>
<a:theme xmlns:a="http://schemas.openxmlformats.org/drawingml/2006/main" name="Office Theme">
  <a:themeElements>
    <a:clrScheme name="MNsure">
      <a:dk1>
        <a:sysClr val="windowText" lastClr="000000"/>
      </a:dk1>
      <a:lt1>
        <a:sysClr val="window" lastClr="FFFFFF"/>
      </a:lt1>
      <a:dk2>
        <a:srgbClr val="4A4A4A"/>
      </a:dk2>
      <a:lt2>
        <a:srgbClr val="EFEFEF"/>
      </a:lt2>
      <a:accent1>
        <a:srgbClr val="019292"/>
      </a:accent1>
      <a:accent2>
        <a:srgbClr val="4A4A4A"/>
      </a:accent2>
      <a:accent3>
        <a:srgbClr val="0A876B"/>
      </a:accent3>
      <a:accent4>
        <a:srgbClr val="C34008"/>
      </a:accent4>
      <a:accent5>
        <a:srgbClr val="019292"/>
      </a:accent5>
      <a:accent6>
        <a:srgbClr val="EEB212"/>
      </a:accent6>
      <a:hlink>
        <a:srgbClr val="0A876B"/>
      </a:hlink>
      <a:folHlink>
        <a:srgbClr val="C34008"/>
      </a:folHlink>
    </a:clrScheme>
    <a:fontScheme name="MNsure">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B25526BB6EB4EBE633283BD11055D" ma:contentTypeVersion="2" ma:contentTypeDescription="Create a new document." ma:contentTypeScope="" ma:versionID="2653ebab59c3fb8c20fa824cf273c719">
  <xsd:schema xmlns:xsd="http://www.w3.org/2001/XMLSchema" xmlns:xs="http://www.w3.org/2001/XMLSchema" xmlns:p="http://schemas.microsoft.com/office/2006/metadata/properties" xmlns:ns2="e536fcfd-1d3e-4792-9ec1-addc25b48cf2" targetNamespace="http://schemas.microsoft.com/office/2006/metadata/properties" ma:root="true" ma:fieldsID="4762be382cc3cdcd50a25912caa37a80" ns2:_="">
    <xsd:import namespace="e536fcfd-1d3e-4792-9ec1-addc25b48cf2"/>
    <xsd:element name="properties">
      <xsd:complexType>
        <xsd:sequence>
          <xsd:element name="documentManagement">
            <xsd:complexType>
              <xsd:all>
                <xsd:element ref="ns2:Link_x0020_to_x0020_article"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6fcfd-1d3e-4792-9ec1-addc25b48cf2" elementFormDefault="qualified">
    <xsd:import namespace="http://schemas.microsoft.com/office/2006/documentManagement/types"/>
    <xsd:import namespace="http://schemas.microsoft.com/office/infopath/2007/PartnerControls"/>
    <xsd:element name="Link_x0020_to_x0020_article" ma:index="8" nillable="true" ma:displayName="Link to article" ma:format="Hyperlink" ma:internalName="Link_x0020_to_x0020_articl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9" nillable="true" ma:displayName="Document Type" ma:default="Resources" ma:format="Dropdown" ma:internalName="Document_x0020_Type">
      <xsd:simpleType>
        <xsd:restriction base="dms:Choice">
          <xsd:enumeration value="Branding"/>
          <xsd:enumeration value="Intranet Assets"/>
          <xsd:enumeration value="News Clips"/>
          <xsd:enumeration value="Resources"/>
          <xsd:enumeration value="Safety/Security/Facilities"/>
          <xsd:enumeration value="Staff e-newsletter"/>
          <xsd:enumeration value="Welln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ink_x0020_to_x0020_article xmlns="e536fcfd-1d3e-4792-9ec1-addc25b48cf2">
      <Url xsi:nil="true"/>
      <Description xsi:nil="true"/>
    </Link_x0020_to_x0020_article>
    <Document_x0020_Type xmlns="e536fcfd-1d3e-4792-9ec1-addc25b48cf2">Branding</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158ED6-29D7-4279-AC0B-F90ED344A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6fcfd-1d3e-4792-9ec1-addc25b48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F3D483-49F2-444F-B863-B9EA7766874C}">
  <ds:schemaRefs>
    <ds:schemaRef ds:uri="http://schemas.microsoft.com/office/2006/metadata/properties"/>
    <ds:schemaRef ds:uri="http://schemas.microsoft.com/office/infopath/2007/PartnerControls"/>
    <ds:schemaRef ds:uri="e536fcfd-1d3e-4792-9ec1-addc25b48cf2"/>
  </ds:schemaRefs>
</ds:datastoreItem>
</file>

<file path=customXml/itemProps3.xml><?xml version="1.0" encoding="utf-8"?>
<ds:datastoreItem xmlns:ds="http://schemas.openxmlformats.org/officeDocument/2006/customXml" ds:itemID="{C0819726-7B78-474B-B228-2D51C09EAF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MNsure Document Template</Template>
  <TotalTime>4</TotalTime>
  <Pages>2</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MNsure Document Template</vt:lpstr>
    </vt:vector>
  </TitlesOfParts>
  <Company>MNsure</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MNsure Document Template</dc:title>
  <dc:subject>MNsure Template</dc:subject>
  <dc:creator>Glenn-burns, Magee</dc:creator>
  <cp:lastModifiedBy>Napier, Dawn R (MNsure)</cp:lastModifiedBy>
  <cp:revision>2</cp:revision>
  <cp:lastPrinted>2015-04-08T18:55:00Z</cp:lastPrinted>
  <dcterms:created xsi:type="dcterms:W3CDTF">2021-05-13T19:44:00Z</dcterms:created>
  <dcterms:modified xsi:type="dcterms:W3CDTF">2021-05-13T19:44:00Z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0x010100ADAB25526BB6EB4EBE633283BD11055D</vt:lpwstr>
  </property>
</Properties>
</file>